
<file path=[Content_Types].xml><?xml version="1.0" encoding="utf-8"?>
<Types xmlns="http://schemas.openxmlformats.org/package/2006/content-types">
  <Default Extension="rels" ContentType="application/vnd.openxmlformats-package.relationships+xml"/>
  <Default Extension="jpg" ContentType="image/jpeg"/>
  <Override PartName="/docProps/core.xml" ContentType="application/vnd.openxmlformats-package.core-properti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&#65279;<?xml version="1.0" encoding="utf-8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officeDocument" Target="word/document.xml" />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rPr/>
      </w:pPr>
      <w:r>
        <w:rPr>
          <w:b w:val="true"/>
          <w:sz w:val="21"/>
        </w:rPr>
        <w:t>En-tête de facture</w:t>
      </w:r>
    </w:p>
    <w:tbl>
      <w:tblPr>
        <w:tblInd w:w="450" w:type="dxa"/>
      </w:tblPr>
      <w:tr>
        <w:trPr>
          <w:trHeight w:val="210" w:hRule="exact"/>
        </w:trPr>
        <w:tc>
          <w:tcPr>
            <w:tcW w:w="75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rPr/>
            </w:pPr>
            <w:r>
              <w:rPr>
                <w:sz w:val="16"/>
              </w:rPr>
              <w:t>Numéro de facture Fournisseur : FA2015677</w:t>
            </w:r>
          </w:p>
        </w:tc>
      </w:tr>
      <w:tr>
        <w:trPr>
          <w:trHeight w:val="210" w:hRule="exact"/>
        </w:trPr>
        <w:tc>
          <w:tcPr>
            <w:tcW w:w="75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rPr/>
            </w:pPr>
            <w:r>
              <w:rPr>
                <w:sz w:val="16"/>
              </w:rPr>
              <w:t>Nom du fournisseur : ZF-FOU000004</w:t>
            </w:r>
          </w:p>
        </w:tc>
      </w:tr>
      <w:tr>
        <w:trPr>
          <w:trHeight w:val="210" w:hRule="exact"/>
        </w:trPr>
        <w:tc>
          <w:tcPr>
            <w:tcW w:w="75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rPr/>
            </w:pPr>
            <w:r>
              <w:rPr>
                <w:sz w:val="16"/>
              </w:rPr>
              <w:t>Date de facture : 10/12/2021</w:t>
            </w:r>
          </w:p>
        </w:tc>
      </w:tr>
      <w:tr>
        <w:trPr>
          <w:trHeight w:val="210" w:hRule="exact"/>
        </w:trPr>
        <w:tc>
          <w:tcPr>
            <w:tcW w:w="75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rPr/>
            </w:pPr>
            <w:r>
              <w:rPr>
                <w:sz w:val="16"/>
              </w:rPr>
              <w:t>Date d'échéance : 09/01/2022</w:t>
            </w:r>
          </w:p>
        </w:tc>
      </w:tr>
      <w:tr>
        <w:trPr>
          <w:trHeight w:val="210" w:hRule="exact"/>
        </w:trPr>
        <w:tc>
          <w:tcPr>
            <w:tcW w:w="75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rPr/>
            </w:pPr>
            <w:r>
              <w:rPr>
                <w:sz w:val="16"/>
              </w:rPr>
              <w:t>Devise : 1</w:t>
            </w:r>
          </w:p>
        </w:tc>
      </w:tr>
      <w:tr>
        <w:trPr>
          <w:trHeight w:val="210" w:hRule="exact"/>
        </w:trPr>
        <w:tc>
          <w:tcPr>
            <w:tcW w:w="75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rPr/>
            </w:pPr>
            <w:r>
              <w:rPr>
                <w:sz w:val="16"/>
              </w:rPr>
              <w:t>Taux devise : 1,0</w:t>
            </w:r>
          </w:p>
        </w:tc>
      </w:tr>
    </w:tbl>
    <w:p>
      <w:pPr>
        <w:rPr/>
        <w:sectPr>
          <w:pgSz w:h="16845" w:w="11895" w:orient="portrait"/>
          <w:pgMar w:top="225" w:right="600" w:bottom="150" w:left="600" w:header="720" w:footer="720" w:gutter="0"/>
          <w:headerReference r:id="rId2" w:type="default"/>
        </w:sectPr>
      </w:pPr>
    </w:p>
    <w:p>
      <w:pPr>
        <w:rPr/>
      </w:pPr>
      <w:r>
        <w:rPr>
          <w:b w:val="true"/>
          <w:sz w:val="21"/>
        </w:rPr>
        <w:t>Lignes de facture</w:t>
      </w:r>
    </w:p>
    <w:tbl>
      <w:tblPr>
        <w:tblInd w:w="450" w:type="dxa"/>
      </w:tblPr>
      <w:tr>
        <w:trPr>
          <w:trHeight w:val="210" w:hRule="exact"/>
        </w:trPr>
        <w:tc>
          <w:tcPr>
            <w:tcW w:w="6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1</w:t>
            </w:r>
          </w:p>
        </w:tc>
        <w:tc>
          <w:tcPr>
            <w:tcW w:w="3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left"/>
              <w:rPr/>
            </w:pPr>
            <w:r>
              <w:rPr>
                <w:sz w:val="16"/>
              </w:rPr>
              <w:t>Achillée millefeuille origine Bulgarie</w:t>
            </w:r>
          </w:p>
        </w:tc>
        <w:tc>
          <w:tcPr>
            <w:tcW w:w="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30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91,41 €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91,41 €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5,03 €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96,44 €</w:t>
            </w:r>
          </w:p>
        </w:tc>
      </w:tr>
      <w:tr>
        <w:trPr>
          <w:trHeight w:val="210" w:hRule="exact"/>
        </w:trPr>
        <w:tc>
          <w:tcPr>
            <w:tcW w:w="6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2</w:t>
            </w:r>
          </w:p>
        </w:tc>
        <w:tc>
          <w:tcPr>
            <w:tcW w:w="3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left"/>
              <w:rPr/>
            </w:pPr>
            <w:r>
              <w:rPr>
                <w:sz w:val="16"/>
              </w:rPr>
              <w:t>Bois de santal</w:t>
            </w:r>
          </w:p>
        </w:tc>
        <w:tc>
          <w:tcPr>
            <w:tcW w:w="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30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122,68 €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122,68 €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6,75 €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129,43 €</w:t>
            </w:r>
          </w:p>
        </w:tc>
      </w:tr>
      <w:tr>
        <w:trPr>
          <w:trHeight w:val="210" w:hRule="exact"/>
        </w:trPr>
        <w:tc>
          <w:tcPr>
            <w:tcW w:w="6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3</w:t>
            </w:r>
          </w:p>
        </w:tc>
        <w:tc>
          <w:tcPr>
            <w:tcW w:w="3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left"/>
              <w:rPr/>
            </w:pPr>
            <w:r>
              <w:rPr>
                <w:sz w:val="16"/>
              </w:rPr>
              <w:t>Graine de carotte sauvage</w:t>
            </w:r>
          </w:p>
        </w:tc>
        <w:tc>
          <w:tcPr>
            <w:tcW w:w="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50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105,60 €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105,60 €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5,81 €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111,41 €</w:t>
            </w:r>
          </w:p>
        </w:tc>
      </w:tr>
      <w:tr>
        <w:trPr>
          <w:trHeight w:val="210" w:hRule="exact"/>
        </w:trPr>
        <w:tc>
          <w:tcPr>
            <w:tcW w:w="6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4</w:t>
            </w:r>
          </w:p>
        </w:tc>
        <w:tc>
          <w:tcPr>
            <w:tcW w:w="3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left"/>
              <w:rPr/>
            </w:pPr>
            <w:r>
              <w:rPr>
                <w:sz w:val="16"/>
              </w:rPr>
              <w:t>Citron</w:t>
            </w:r>
          </w:p>
        </w:tc>
        <w:tc>
          <w:tcPr>
            <w:tcW w:w="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100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40,75 €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40,75 €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2,24 €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42,99 €</w:t>
            </w:r>
          </w:p>
        </w:tc>
      </w:tr>
      <w:tr>
        <w:trPr>
          <w:trHeight w:val="210" w:hRule="exact"/>
        </w:trPr>
        <w:tc>
          <w:tcPr>
            <w:tcW w:w="6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5</w:t>
            </w:r>
          </w:p>
        </w:tc>
        <w:tc>
          <w:tcPr>
            <w:tcW w:w="3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left"/>
              <w:rPr/>
            </w:pPr>
            <w:r>
              <w:rPr>
                <w:sz w:val="16"/>
              </w:rPr>
              <w:t>Citronnelle de Ceylan</w:t>
            </w:r>
          </w:p>
        </w:tc>
        <w:tc>
          <w:tcPr>
            <w:tcW w:w="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50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21,08 €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21,08 €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1,16 €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22,24 €</w:t>
            </w:r>
          </w:p>
        </w:tc>
      </w:tr>
      <w:tr>
        <w:trPr>
          <w:trHeight w:val="210" w:hRule="exact"/>
        </w:trPr>
        <w:tc>
          <w:tcPr>
            <w:tcW w:w="6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6</w:t>
            </w:r>
          </w:p>
        </w:tc>
        <w:tc>
          <w:tcPr>
            <w:tcW w:w="3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left"/>
              <w:rPr/>
            </w:pPr>
            <w:r>
              <w:rPr>
                <w:sz w:val="16"/>
              </w:rPr>
              <w:t>Résine d'Encens</w:t>
            </w:r>
          </w:p>
        </w:tc>
        <w:tc>
          <w:tcPr>
            <w:tcW w:w="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60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38,82 €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77,64 €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4,27 €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81,91 €</w:t>
            </w:r>
          </w:p>
        </w:tc>
      </w:tr>
      <w:tr>
        <w:trPr>
          <w:trHeight w:val="210" w:hRule="exact"/>
        </w:trPr>
        <w:tc>
          <w:tcPr>
            <w:tcW w:w="6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7</w:t>
            </w:r>
          </w:p>
        </w:tc>
        <w:tc>
          <w:tcPr>
            <w:tcW w:w="3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left"/>
              <w:rPr/>
            </w:pPr>
            <w:r>
              <w:rPr>
                <w:sz w:val="16"/>
              </w:rPr>
              <w:t>Baie de genévrier</w:t>
            </w:r>
          </w:p>
        </w:tc>
        <w:tc>
          <w:tcPr>
            <w:tcW w:w="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50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44,05 €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44,05 €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2,42 €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46,47 €</w:t>
            </w:r>
          </w:p>
        </w:tc>
      </w:tr>
      <w:tr>
        <w:trPr>
          <w:trHeight w:val="210" w:hRule="exact"/>
        </w:trPr>
        <w:tc>
          <w:tcPr>
            <w:tcW w:w="6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8</w:t>
            </w:r>
          </w:p>
        </w:tc>
        <w:tc>
          <w:tcPr>
            <w:tcW w:w="3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left"/>
              <w:rPr/>
            </w:pPr>
            <w:r>
              <w:rPr>
                <w:sz w:val="16"/>
              </w:rPr>
              <w:t>Gingembre</w:t>
            </w:r>
          </w:p>
        </w:tc>
        <w:tc>
          <w:tcPr>
            <w:tcW w:w="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50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144,28 €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144,28 €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7,94 €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152,22 €</w:t>
            </w:r>
          </w:p>
        </w:tc>
      </w:tr>
      <w:tr>
        <w:trPr>
          <w:trHeight w:val="210" w:hRule="exact"/>
        </w:trPr>
        <w:tc>
          <w:tcPr>
            <w:tcW w:w="6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9</w:t>
            </w:r>
          </w:p>
        </w:tc>
        <w:tc>
          <w:tcPr>
            <w:tcW w:w="3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left"/>
              <w:rPr/>
            </w:pPr>
            <w:r>
              <w:rPr>
                <w:sz w:val="16"/>
              </w:rPr>
              <w:t>Clou de Girofle</w:t>
            </w:r>
          </w:p>
        </w:tc>
        <w:tc>
          <w:tcPr>
            <w:tcW w:w="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30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24,53 €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24,53 €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4,91 €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29,44 €</w:t>
            </w:r>
          </w:p>
        </w:tc>
      </w:tr>
      <w:tr>
        <w:trPr>
          <w:trHeight w:val="210" w:hRule="exact"/>
        </w:trPr>
        <w:tc>
          <w:tcPr>
            <w:tcW w:w="6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10</w:t>
            </w:r>
          </w:p>
        </w:tc>
        <w:tc>
          <w:tcPr>
            <w:tcW w:w="3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left"/>
              <w:rPr/>
            </w:pPr>
            <w:r>
              <w:rPr>
                <w:sz w:val="16"/>
              </w:rPr>
              <w:t>Thym à Thymol Carvacrol</w:t>
            </w:r>
          </w:p>
        </w:tc>
        <w:tc>
          <w:tcPr>
            <w:tcW w:w="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30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33,90 €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33,90 €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1,86 €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35,76 €</w:t>
            </w:r>
          </w:p>
        </w:tc>
      </w:tr>
      <w:tr>
        <w:trPr>
          <w:trHeight w:val="210" w:hRule="exact"/>
        </w:trPr>
        <w:tc>
          <w:tcPr>
            <w:tcW w:w="6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11</w:t>
            </w:r>
          </w:p>
        </w:tc>
        <w:tc>
          <w:tcPr>
            <w:tcW w:w="3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left"/>
              <w:rPr/>
            </w:pPr>
            <w:r>
              <w:rPr>
                <w:sz w:val="16"/>
              </w:rPr>
              <w:t>Thym à Phenol &amp; Paracymène</w:t>
            </w:r>
          </w:p>
        </w:tc>
        <w:tc>
          <w:tcPr>
            <w:tcW w:w="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10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6,59 €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13,18 €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0,72 €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13,90 €</w:t>
            </w:r>
          </w:p>
        </w:tc>
      </w:tr>
      <w:tr>
        <w:trPr>
          <w:trHeight w:val="210" w:hRule="exact"/>
        </w:trPr>
        <w:tc>
          <w:tcPr>
            <w:tcW w:w="6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12</w:t>
            </w:r>
          </w:p>
        </w:tc>
        <w:tc>
          <w:tcPr>
            <w:tcW w:w="3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left"/>
              <w:rPr/>
            </w:pPr>
            <w:r>
              <w:rPr>
                <w:sz w:val="16"/>
              </w:rPr>
              <w:t>Rose de Damas</w:t>
            </w:r>
          </w:p>
        </w:tc>
        <w:tc>
          <w:tcPr>
            <w:tcW w:w="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20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131,18 €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262,36 €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14,43 €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276,79 €</w:t>
            </w:r>
          </w:p>
        </w:tc>
      </w:tr>
      <w:tr>
        <w:trPr>
          <w:trHeight w:val="210" w:hRule="exact"/>
        </w:trPr>
        <w:tc>
          <w:tcPr>
            <w:tcW w:w="6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13</w:t>
            </w:r>
          </w:p>
        </w:tc>
        <w:tc>
          <w:tcPr>
            <w:tcW w:w="3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left"/>
              <w:rPr/>
            </w:pPr>
            <w:r>
              <w:rPr>
                <w:sz w:val="16"/>
              </w:rPr>
              <w:t>Menthe poivrée</w:t>
            </w:r>
          </w:p>
        </w:tc>
        <w:tc>
          <w:tcPr>
            <w:tcW w:w="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100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61,44 €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61,44 €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3,38 €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64,82 €</w:t>
            </w:r>
          </w:p>
        </w:tc>
      </w:tr>
      <w:tr>
        <w:trPr>
          <w:trHeight w:val="210" w:hRule="exact"/>
        </w:trPr>
        <w:tc>
          <w:tcPr>
            <w:tcW w:w="6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14</w:t>
            </w:r>
          </w:p>
        </w:tc>
        <w:tc>
          <w:tcPr>
            <w:tcW w:w="3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left"/>
              <w:rPr/>
            </w:pPr>
            <w:r>
              <w:rPr>
                <w:sz w:val="16"/>
              </w:rPr>
              <w:t>Ylang ylang</w:t>
            </w:r>
          </w:p>
        </w:tc>
        <w:tc>
          <w:tcPr>
            <w:tcW w:w="75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center"/>
              <w:rPr/>
            </w:pPr>
            <w:r>
              <w:rPr>
                <w:sz w:val="16"/>
              </w:rPr>
              <w:t>30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27,46 €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27,46 €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1,51 €</w:t>
            </w:r>
          </w:p>
        </w:tc>
        <w:tc>
          <w:tcPr>
            <w:tcW w:w="12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jc w:val="right"/>
              <w:rPr/>
            </w:pPr>
            <w:r>
              <w:rPr>
                <w:sz w:val="16"/>
              </w:rPr>
              <w:t>28,97 €</w:t>
            </w:r>
          </w:p>
        </w:tc>
      </w:tr>
    </w:tbl>
    <w:p>
      <w:pPr>
        <w:rPr/>
        <w:sectPr>
          <w:type w:val="continuous"/>
          <w:pgSz w:h="16845" w:w="11895" w:orient="portrait"/>
          <w:pgMar w:top="225" w:right="600" w:bottom="150" w:left="600" w:header="720" w:footer="720" w:gutter="0"/>
        </w:sectPr>
      </w:pPr>
    </w:p>
    <w:p>
      <w:pPr>
        <w:rPr/>
      </w:pPr>
      <w:r>
        <w:rPr>
          <w:b w:val="true"/>
          <w:sz w:val="21"/>
        </w:rPr>
        <w:t>Pied de facture</w:t>
      </w:r>
    </w:p>
    <w:tbl>
      <w:tblPr>
        <w:tblInd w:w="450" w:type="dxa"/>
      </w:tblPr>
      <w:tr>
        <w:trPr>
          <w:trHeight w:val="210" w:hRule="exact"/>
        </w:trPr>
        <w:tc>
          <w:tcPr>
            <w:tcW w:w="45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rPr/>
            </w:pPr>
            <w:r>
              <w:rPr>
                <w:sz w:val="16"/>
              </w:rPr>
              <w:t>total Produits HT : 1 070,36 €</w:t>
            </w:r>
          </w:p>
        </w:tc>
      </w:tr>
      <w:tr>
        <w:trPr>
          <w:trHeight w:val="210" w:hRule="exact"/>
        </w:trPr>
        <w:tc>
          <w:tcPr>
            <w:tcW w:w="45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rPr/>
            </w:pPr>
            <w:r>
              <w:rPr>
                <w:sz w:val="16"/>
              </w:rPr>
              <w:t>total Port HT : 0,00 €</w:t>
            </w:r>
          </w:p>
        </w:tc>
      </w:tr>
      <w:tr>
        <w:trPr>
          <w:trHeight w:val="210" w:hRule="exact"/>
        </w:trPr>
        <w:tc>
          <w:tcPr>
            <w:tcW w:w="45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rPr/>
            </w:pPr>
            <w:r>
              <w:rPr>
                <w:sz w:val="16"/>
              </w:rPr>
              <w:t>Autres Frais HT : 0,00 €</w:t>
            </w:r>
          </w:p>
        </w:tc>
      </w:tr>
      <w:tr>
        <w:trPr>
          <w:trHeight w:val="210" w:hRule="exact"/>
        </w:trPr>
        <w:tc>
          <w:tcPr>
            <w:tcW w:w="45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rPr/>
            </w:pPr>
            <w:r>
              <w:rPr>
                <w:sz w:val="16"/>
              </w:rPr>
              <w:t>Montant Remise HT : 0,00 €</w:t>
            </w:r>
          </w:p>
        </w:tc>
      </w:tr>
      <w:tr>
        <w:trPr>
          <w:trHeight w:val="210" w:hRule="exact"/>
        </w:trPr>
        <w:tc>
          <w:tcPr>
            <w:tcW w:w="45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rPr/>
            </w:pPr>
            <w:r>
              <w:rPr>
                <w:sz w:val="16"/>
              </w:rPr>
              <w:t>Total TVA : 1 070,36 €</w:t>
            </w:r>
          </w:p>
        </w:tc>
      </w:tr>
      <w:tr>
        <w:trPr>
          <w:trHeight w:val="210" w:hRule="exact"/>
        </w:trPr>
        <w:tc>
          <w:tcPr>
            <w:tcW w:w="45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rPr/>
            </w:pPr>
            <w:r>
              <w:rPr>
                <w:sz w:val="16"/>
              </w:rPr>
              <w:t>Montant total HT : 1 070,36 €</w:t>
            </w:r>
          </w:p>
        </w:tc>
      </w:tr>
      <w:tr>
        <w:trPr>
          <w:trHeight w:val="210" w:hRule="exact"/>
        </w:trPr>
        <w:tc>
          <w:tcPr>
            <w:tcW w:w="4500" w:type="dxa"/>
            <w:tcBorders>
              <w:top w:color="006400" w:frame="false" w:shadow="false" w:sz="6" w:space="0" w:val="single"/>
              <w:left w:color="006400" w:frame="false" w:shadow="false" w:sz="6" w:space="0" w:val="single"/>
              <w:bottom w:color="006400" w:frame="false" w:shadow="false" w:sz="6" w:space="0" w:val="single"/>
              <w:right w:color="006400" w:frame="false" w:shadow="false" w:sz="6" w:space="0" w:val="single"/>
            </w:tcBorders>
            <w:vAlign w:val="center"/>
          </w:tcPr>
          <w:p>
            <w:pPr>
              <w:rPr/>
            </w:pPr>
            <w:r>
              <w:rPr>
                <w:sz w:val="16"/>
              </w:rPr>
              <w:t>Montant total TTC : 2 140,72 €</w:t>
            </w:r>
          </w:p>
        </w:tc>
      </w:tr>
    </w:tbl>
    <w:sectPr>
      <w:type w:val="continuous"/>
      <w:pgSz w:h="16845" w:w="11895" w:orient="portrait"/>
      <w:pgMar w:top="225" w:right="600" w:bottom="150" w:left="600" w:header="720" w:footer="720" w:gutter="0"/>
    </w:sectPr>
  </w:body>
</w:document>
</file>

<file path=word/header1.xml><?xml version="1.0" encoding="utf-8"?>
<w:hdr xmlns:r="http://schemas.openxmlformats.org/officeDocument/2006/relationships" xmlns:w="http://schemas.openxmlformats.org/wordprocessingml/2006/main">
  <w:p>
    <w:pPr>
      <w:jc w:val="left"/>
      <w:rPr/>
    </w:pPr>
    <w:r>
      <w:rPr>
        <w:rFonts w:ascii="Segoe UI" w:hAnsi="Segoe UI" w:cs="Segoe UI"/>
        <w:color w:val="00008B"/>
        <w:sz w:val="39"/>
      </w:rPr>
      <w:t>Fac-simile de Facture Fournisseur ZF-FAC000045</w:t>
    </w:r>
    <w:r>
      <w:drawing>
        <wp:anchor xmlns:wp="http://schemas.openxmlformats.org/drawingml/2006/wordprocessingDrawing" distT="0" distB="0" distL="114300" distR="114300" simplePos="false" relativeHeight="0" behindDoc="false" locked="false" layoutInCell="true" allowOverlap="true">
          <wp:simplePos x="0" y="0"/>
          <wp:positionH relativeFrom="column">
            <wp:align>left</wp:align>
          </wp:positionH>
          <wp:positionV relativeFrom="paragraph">
            <wp:align>top</wp:align>
          </wp:positionV>
          <wp:extent cy="400050" cx="361950"/>
          <wp:effectExtent l="0" r="0" t="0" b="0"/>
          <wp:wrapSquare wrapText="bothSides"/>
          <wp:docPr id="0" name="" descr="" title="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 titl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y="400050" cx="361950"/>
                  </a:xfrm>
                  <a:prstGeom prst="rect"/>
                </pic:spPr>
              </pic:pic>
            </a:graphicData>
          </a:graphic>
        </wp:anchor>
      </w:drawing>
    </w:r>
  </w:p>
  <w:p>
    <w:pPr>
      <w:rPr/>
    </w:pPr>
    <w:r>
      <w:rPr/>
      <w:t xml:space="preserve">   </w:t>
    </w:r>
  </w:p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cs="Calibri" w:asciiTheme="minorHAnsi" w:hAnsiTheme="minorHAnsi"/>
        <w:sz w:val="22"/>
      </w:rPr>
    </w:rPrDefault>
    <w:pPrDefault>
      <w:pPr>
        <w:spacing w:after="180" w:line="276" w:lineRule="auto"/>
      </w:pPr>
    </w:pPrDefault>
  </w:docDefaults>
  <w:style w:styleId="Normal" w:type="paragraph" w:default="true" w:customStyle="false">
    <w:name w:val="Normal"/>
    <w:uiPriority w:val="0"/>
    <w:qFormat w:val="true"/>
    <w:pPr/>
    <w:rPr/>
  </w:style>
  <w:style w:styleId="TableNormal" w:type="table" w:default="true" w:customStyle="false">
    <w:name w:val="Table Normal"/>
    <w:uiPriority w:val="59"/>
    <w:pPr/>
    <w:rPr/>
    <w:tblPr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theme" Target="theme/theme1.xml" /><Relationship Id="rId2" Type="http://schemas.openxmlformats.org/officeDocument/2006/relationships/header" Target="header1.xml" /><Relationship Id="rId3" Type="http://schemas.openxmlformats.org/officeDocument/2006/relationships/settings" Target="settings.xml" /><Relationship Id="rId4" Type="http://schemas.openxmlformats.org/officeDocument/2006/relationships/styles" Target="styles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0.jpg" 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core.xml><?xml version="1.0" encoding="utf-8"?>
<cp:coreProperties xmlns:dc="http://purl.org/dc/elements/1.1/" xmlns:cp="http://schemas.openxmlformats.org/package/2006/metadata/core-properties"/>
</file>