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eb23619a4cb421a" /></Relationships>
</file>

<file path=word/document.xml><?xml version="1.0" encoding="utf-8"?>
<w:document xmlns:w="http://schemas.openxmlformats.org/wordprocessingml/2006/main">
  <w:body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"/>
        <w:gridCol w:w="7076"/>
        <w:gridCol w:w="1389"/>
        <w:gridCol w:w="583"/>
        <w:gridCol w:w="1947"/>
        <w:gridCol w:w="173"/>
      </w:tblGrid>
      <w:tr>
        <w:trPr>
          <w:trHeight w:val="3572" w:hRule="exact"/>
        </w:trPr>
        <w:tc>
          <w:tcPr>
            <w:tcW w:w="17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7076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389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583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947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73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0" w:hRule="auto"/>
        </w:trPr>
        <w:tc>
          <w:tcPr>
            <w:tcW w:w="17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7076" w:type="dxa"/>
            <w:hMerge w:val="restart"/>
          </w:tcPr>
          <w:tbl>
            <w:tblPr>
              <w:tblW w:w="5000" w:type="pct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073"/>
              <w:gridCol w:w="3922"/>
            </w:tblGrid>
            <w:tr>
              <w:trPr>
                <w:trHeight w:val="333" w:hRule="exact"/>
              </w:trPr>
              <w:tc>
                <w:tcPr>
                  <w:tcW w:w="7073" w:type="dxa"/>
                  <w:tcBorders>
                    <w:top w:val="single" w:color="000000" w:sz="6"/>
                    <w:left w:val="single" w:color="000000" w:sz="6"/>
                    <w:bottom w:val="single" w:color="000000" w:sz="6"/>
                    <w:right w:val="single" w:color="000000" w:sz="6"/>
                  </w:tcBorders>
                  <w:shd w:val="clear" w:fill="C0C0C0"/>
                  <w:tcMar>
                    <w:left w:w="40" w:type="dxa"/>
                    <w:right w:w="40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34" w:lineRule="exact"/>
                    <w:ind w:hanging="0"/>
                    <w:jc w:val="center"/>
                    <w:rPr>
                      <w:color w:val="000000"/>
                      <w:rFonts w:ascii="Cambria" w:hAnsi="Cambria" w:eastAsia="Cambria" w:cs="Cambria"/>
                      <w:sz w:val="20"/>
                      <w:szCs w:val="20"/>
                    </w:rPr>
                  </w:pPr>
                  <w:r>
                    <w:rPr>
                      <w:rFonts w:ascii="Cambria" w:hAnsi="Cambria" w:eastAsia="Cambria" w:cs="Cambria"/>
                      <w:color w:val="000000"/>
                      <w:sz w:val="20"/>
                      <w:szCs w:val="20"/>
                      <w:rtl w:val="false"/>
                    </w:rPr>
                    <w:t xml:space="preserve">Description</w:t>
                  </w:r>
                </w:p>
              </w:tc>
              <w:tc>
                <w:tcPr>
                  <w:tcW w:w="3922" w:type="dxa"/>
                  <w:tcBorders>
                    <w:top w:val="single" w:color="000000" w:sz="6"/>
                    <w:left w:val="single" w:color="000000" w:sz="6"/>
                    <w:bottom w:val="single" w:color="000000" w:sz="6"/>
                    <w:right w:val="single" w:color="000000" w:sz="6"/>
                  </w:tcBorders>
                  <w:shd w:val="clear" w:fill="C0C0C0"/>
                  <w:tcMar>
                    <w:left w:w="40" w:type="dxa"/>
                    <w:right w:w="40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34" w:lineRule="exact"/>
                    <w:ind w:hanging="0"/>
                    <w:jc w:val="center"/>
                    <w:rPr>
                      <w:color w:val="000000"/>
                      <w:rFonts w:ascii="Cambria" w:hAnsi="Cambria" w:eastAsia="Cambria" w:cs="Cambria"/>
                      <w:sz w:val="20"/>
                      <w:szCs w:val="20"/>
                    </w:rPr>
                  </w:pPr>
                  <w:r>
                    <w:rPr>
                      <w:rFonts w:ascii="Cambria" w:hAnsi="Cambria" w:eastAsia="Cambria" w:cs="Cambria"/>
                      <w:color w:val="000000"/>
                      <w:sz w:val="20"/>
                      <w:szCs w:val="20"/>
                      <w:rtl w:val="false"/>
                    </w:rPr>
                    <w:t xml:space="preserve">Amount (USD)</w:t>
                  </w:r>
                </w:p>
              </w:tc>
            </w:tr>
            <w:tr>
              <w:trPr>
                <w:trHeight w:val="264" w:hRule="exact"/>
              </w:trPr>
              <w:tc>
                <w:tcPr>
                  <w:tcW w:w="7073" w:type="dxa"/>
                  <w:tcBorders>
                    <w:left w:val="single" w:color="000000" w:sz="6"/>
                    <w:bottom w:val="single" w:color="000000" w:sz="6"/>
                    <w:right w:val="single" w:color="000000" w:sz="6"/>
                  </w:tcBorders>
                  <w:tcMar>
                    <w:left w:w="40" w:type="dxa"/>
                    <w:bottom w:w="200" w:type="dxa"/>
                    <w:right w:w="40" w:type="dxa"/>
                  </w:tcMar>
                  <w:textDirection w:val="lrTb"/>
                  <w:vAlign w:val="top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  <w:tc>
                <w:tcPr>
                  <w:tcW w:w="3922" w:type="dxa"/>
                  <w:tcBorders>
                    <w:left w:val="single" w:color="000000" w:sz="6"/>
                    <w:bottom w:val="single" w:color="000000" w:sz="6"/>
                    <w:right w:val="single" w:color="000000" w:sz="6"/>
                  </w:tcBorders>
                  <w:tcMar>
                    <w:left w:w="40" w:type="dxa"/>
                    <w:right w:w="40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70" w:lineRule="exact"/>
                    <w:ind w:hanging="0"/>
                    <w:jc w:val="right"/>
                    <w:rPr>
                      <w:color w:val="000000"/>
                      <w:rFonts w:ascii="Cambria" w:hAnsi="Cambria" w:eastAsia="Cambria" w:cs="Cambria"/>
                      <w:sz w:val="23"/>
                      <w:szCs w:val="23"/>
                    </w:rPr>
                  </w:pPr>
                  <w:r>
                    <w:rPr>
                      <w:rFonts w:ascii="Cambria" w:hAnsi="Cambria" w:eastAsia="Cambria" w:cs="Cambria"/>
                      <w:color w:val="000000"/>
                      <w:sz w:val="23"/>
                      <w:szCs w:val="23"/>
                      <w:rtl w:val="false"/>
                    </w:rPr>
                    <w:t xml:space="preserve">5’600.00</w:t>
                  </w:r>
                </w:p>
              </w:tc>
            </w:tr>
          </w:tbl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389" w:type="dxa"/>
            <w:hMerge w:val="continue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583" w:type="dxa"/>
            <w:hMerge w:val="continue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947" w:type="dxa"/>
            <w:hMerge w:val="continue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73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303" w:hRule="exact"/>
        </w:trPr>
        <w:tc>
          <w:tcPr>
            <w:tcW w:w="17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7076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38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tcMar>
              <w:left w:w="40" w:type="dxa"/>
              <w:right w:w="40" w:type="dxa"/>
            </w:tcMar>
            <w:textDirection w:val="lrTb"/>
            <w:vAlign w:val="center"/>
          </w:tcPr>
          <w:p>
            <w:pPr>
              <w:bidi w:val="false"/>
              <w:spacing w:before="0" w:after="0" w:line="270" w:lineRule="exact"/>
              <w:ind w:hanging="0"/>
              <w:jc w:val="left"/>
              <w:rPr>
                <w:color w:val="000000"/>
                <w:rFonts w:ascii="Cambria" w:hAnsi="Cambria" w:eastAsia="Cambria" w:cs="Cambria"/>
                <w:sz w:val="23"/>
                <w:szCs w:val="23"/>
              </w:rPr>
            </w:pPr>
            <w:r>
              <w:rPr>
                <w:rFonts w:ascii="Cambria" w:hAnsi="Cambria" w:eastAsia="Cambria" w:cs="Cambria"/>
                <w:color w:val="000000"/>
                <w:sz w:val="23"/>
                <w:szCs w:val="23"/>
                <w:rtl w:val="false"/>
              </w:rPr>
              <w:t xml:space="preserve">Total</w:t>
            </w:r>
          </w:p>
        </w:tc>
        <w:tc>
          <w:tcPr>
            <w:tcW w:w="583" w:type="dxa"/>
            <w:hMerge w:val="restart"/>
            <w:tcBorders>
              <w:top w:val="single" w:color="000000" w:sz="6"/>
              <w:left w:val="single" w:color="000000" w:sz="6"/>
              <w:bottom w:val="single" w:color="000000" w:sz="6"/>
            </w:tcBorders>
            <w:tcMar>
              <w:left w:w="40" w:type="dxa"/>
            </w:tcMar>
            <w:textDirection w:val="lrTb"/>
            <w:vAlign w:val="top"/>
          </w:tcPr>
          <w:p>
            <w:pPr>
              <w:bidi w:val="false"/>
              <w:spacing w:before="0" w:after="0" w:line="270" w:lineRule="exact"/>
              <w:ind w:hanging="0"/>
              <w:jc w:val="right"/>
              <w:rPr>
                <w:color w:val="000000"/>
                <w:rFonts w:ascii="Cambria" w:hAnsi="Cambria" w:eastAsia="Cambria" w:cs="Cambria"/>
                <w:sz w:val="23"/>
                <w:szCs w:val="23"/>
              </w:rPr>
            </w:pPr>
            <w:r>
              <w:rPr>
                <w:rFonts w:ascii="Cambria" w:hAnsi="Cambria" w:eastAsia="Cambria" w:cs="Cambria"/>
                <w:color w:val="000000"/>
                <w:sz w:val="23"/>
                <w:szCs w:val="23"/>
                <w:rtl w:val="false"/>
              </w:rPr>
              <w:t xml:space="preserve">5’600.00</w:t>
            </w:r>
          </w:p>
        </w:tc>
        <w:tc>
          <w:tcPr>
            <w:tcW w:w="1947" w:type="dxa"/>
            <w:hMerge w:val="continue"/>
            <w:tcBorders>
              <w:top w:val="single" w:color="000000" w:sz="6"/>
              <w:bottom w:val="single" w:color="000000" w:sz="6"/>
              <w:right w:val="single" w:color="000000" w:sz="6"/>
            </w:tcBorders>
            <w:tcMar>
              <w:right w:w="40" w:type="dxa"/>
            </w:tcMar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73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303" w:hRule="exact"/>
        </w:trPr>
        <w:tc>
          <w:tcPr>
            <w:tcW w:w="17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7076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38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tcMar>
              <w:left w:w="40" w:type="dxa"/>
              <w:right w:w="40" w:type="dxa"/>
            </w:tcMar>
            <w:textDirection w:val="lrTb"/>
            <w:vAlign w:val="center"/>
          </w:tcPr>
          <w:p>
            <w:pPr>
              <w:bidi w:val="false"/>
              <w:spacing w:before="0" w:after="0" w:line="270" w:lineRule="exact"/>
              <w:ind w:hanging="0"/>
              <w:jc w:val="left"/>
              <w:rPr>
                <w:color w:val="000000"/>
                <w:rFonts w:ascii="Cambria" w:hAnsi="Cambria" w:eastAsia="Cambria" w:cs="Cambria"/>
                <w:sz w:val="23"/>
                <w:szCs w:val="23"/>
              </w:rPr>
            </w:pPr>
            <w:r>
              <w:rPr>
                <w:rFonts w:ascii="Cambria" w:hAnsi="Cambria" w:eastAsia="Cambria" w:cs="Cambria"/>
                <w:color w:val="000000"/>
                <w:sz w:val="23"/>
                <w:szCs w:val="23"/>
                <w:rtl w:val="false"/>
              </w:rPr>
              <w:t xml:space="preserve">Vat</w:t>
            </w:r>
          </w:p>
        </w:tc>
        <w:tc>
          <w:tcPr>
            <w:tcW w:w="583" w:type="dxa"/>
            <w:hMerge w:val="restart"/>
            <w:tcBorders>
              <w:top w:val="single" w:color="000000" w:sz="6"/>
              <w:left w:val="single" w:color="000000" w:sz="6"/>
              <w:bottom w:val="single" w:color="000000" w:sz="6"/>
            </w:tcBorders>
            <w:tcMar>
              <w:left w:w="40" w:type="dxa"/>
            </w:tcMar>
            <w:textDirection w:val="lrTb"/>
            <w:vAlign w:val="top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947" w:type="dxa"/>
            <w:hMerge w:val="continue"/>
            <w:tcBorders>
              <w:top w:val="single" w:color="000000" w:sz="6"/>
              <w:bottom w:val="single" w:color="000000" w:sz="6"/>
              <w:right w:val="single" w:color="000000" w:sz="6"/>
            </w:tcBorders>
            <w:tcMar>
              <w:right w:w="40" w:type="dxa"/>
            </w:tcMar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73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304" w:hRule="exact"/>
        </w:trPr>
        <w:tc>
          <w:tcPr>
            <w:tcW w:w="17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7076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38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tcMar>
              <w:left w:w="40" w:type="dxa"/>
              <w:right w:w="40" w:type="dxa"/>
            </w:tcMar>
            <w:textDirection w:val="lrTb"/>
            <w:vAlign w:val="center"/>
          </w:tcPr>
          <w:p>
            <w:pPr>
              <w:bidi w:val="false"/>
              <w:spacing w:before="0" w:after="0" w:line="270" w:lineRule="exact"/>
              <w:ind w:hanging="0"/>
              <w:jc w:val="left"/>
              <w:rPr>
                <w:color w:val="000000"/>
                <w:rFonts w:ascii="Cambria" w:hAnsi="Cambria" w:eastAsia="Cambria" w:cs="Cambria"/>
                <w:sz w:val="23"/>
                <w:szCs w:val="23"/>
              </w:rPr>
            </w:pPr>
            <w:r>
              <w:rPr>
                <w:rFonts w:ascii="Cambria" w:hAnsi="Cambria" w:eastAsia="Cambria" w:cs="Cambria"/>
                <w:color w:val="000000"/>
                <w:sz w:val="23"/>
                <w:szCs w:val="23"/>
                <w:rtl w:val="false"/>
              </w:rPr>
              <w:t xml:space="preserve">Total due</w:t>
            </w:r>
          </w:p>
        </w:tc>
        <w:tc>
          <w:tcPr>
            <w:tcW w:w="58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tcMar>
              <w:left w:w="40" w:type="dxa"/>
              <w:right w:w="40" w:type="dxa"/>
            </w:tcMar>
            <w:textDirection w:val="lrTb"/>
            <w:vAlign w:val="top"/>
          </w:tcPr>
          <w:p>
            <w:pPr>
              <w:bidi w:val="false"/>
              <w:spacing w:before="0" w:after="0" w:line="270" w:lineRule="exact"/>
              <w:ind w:hanging="0"/>
              <w:jc w:val="center"/>
              <w:rPr>
                <w:color w:val="000000"/>
                <w:rFonts w:ascii="Cambria" w:hAnsi="Cambria" w:eastAsia="Cambria" w:cs="Cambria"/>
                <w:sz w:val="23"/>
                <w:szCs w:val="23"/>
              </w:rPr>
            </w:pPr>
            <w:r>
              <w:rPr>
                <w:rFonts w:ascii="Cambria" w:hAnsi="Cambria" w:eastAsia="Cambria" w:cs="Cambria"/>
                <w:color w:val="000000"/>
                <w:sz w:val="23"/>
                <w:szCs w:val="23"/>
                <w:rtl w:val="false"/>
              </w:rPr>
              <w:t xml:space="preserve">USD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tcMar>
              <w:left w:w="40" w:type="dxa"/>
              <w:right w:w="40" w:type="dxa"/>
            </w:tcMar>
            <w:textDirection w:val="lrTb"/>
            <w:vAlign w:val="top"/>
          </w:tcPr>
          <w:p>
            <w:pPr>
              <w:bidi w:val="false"/>
              <w:spacing w:before="0" w:after="0" w:line="270" w:lineRule="exact"/>
              <w:ind w:hanging="0"/>
              <w:jc w:val="right"/>
              <w:rPr>
                <w:color w:val="000000"/>
                <w:rFonts w:ascii="Cambria" w:hAnsi="Cambria" w:eastAsia="Cambria" w:cs="Cambria"/>
                <w:sz w:val="23"/>
                <w:szCs w:val="23"/>
              </w:rPr>
            </w:pPr>
            <w:r>
              <w:rPr>
                <w:rFonts w:ascii="Cambria" w:hAnsi="Cambria" w:eastAsia="Cambria" w:cs="Cambria"/>
                <w:color w:val="000000"/>
                <w:sz w:val="23"/>
                <w:szCs w:val="23"/>
                <w:rtl w:val="false"/>
              </w:rPr>
              <w:t xml:space="preserve">5’600.00</w:t>
            </w:r>
          </w:p>
        </w:tc>
        <w:tc>
          <w:tcPr>
            <w:tcW w:w="173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6683" w:hRule="exact"/>
        </w:trPr>
        <w:tc>
          <w:tcPr>
            <w:tcW w:w="170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7076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389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583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947" w:type="dxa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173" w:type="dxa"/>
          </w:tcPr>
          <w:p>
            <w:pPr>
              <w:spacing w:before="0" w:after="0" w:line="1"/>
              <w:rPr>
                <w:sz w:val="2"/>
              </w:rPr>
            </w:pPr>
          </w:p>
        </w:tc>
      </w:tr>
    </w:tbl>
    <w:p>
      <w:pPr>
        <w:spacing w:before="0" w:after="0" w:line="1"/>
        <w:rPr>
          <w:sz w:val="2"/>
        </w:rPr>
      </w:pPr>
    </w:p>
    <w:p>
      <w:pPr>
        <w:spacing w:before="0" w:after="0" w:line="1"/>
        <w:rPr>
          <w:sz w:val="2"/>
        </w:rPr>
      </w:pPr>
      <w:r>
        <w:rPr>
          <w:sz w:val="2"/>
        </w:rPr>
        <w:pict>
          <v:shape xmlns:o="urn:schemas-microsoft-com:office:office" xmlns:v="urn:schemas-microsoft-com:vml" style="position:absolute;mso-position-horizontal:absolute;mso-position-vertical:absolute;mso-position-horizontal-relative:margin;mso-position-vertical-relative:margin;left:71pt;top:763pt;width:425pt;height:28pt" o:allowincell="true" o:allowoverlap="true">
            <v:textbox>
              <w:txbxContent>
                <w:p>
                  <w:pPr>
                    <w:spacing w:before="0" w:after="0" w:line="240"/>
                    <w:ind w:hanging="0"/>
                    <w:jc w:val="center"/>
                    <w:rPr>
                      <w:color w:val="FF0000"/>
                      <w:rFonts w:ascii="Tahoma" w:hAnsi="Tahoma" w:eastAsia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eastAsia="Tahoma" w:cs="Tahoma"/>
                      <w:color w:val="FF0000"/>
                      <w:sz w:val="16"/>
                      <w:szCs w:val="16"/>
                    </w:rPr>
                    <w:t xml:space="preserve">Telerik Reporting v13.1 trial version. Copyright Telerik EAD © 2006-2021.
</w:t>
                  </w:r>
                </w:p>
                <w:p>
                  <w:pPr>
                    <w:spacing w:before="0" w:after="0" w:line="240"/>
                    <w:ind w:hanging="0"/>
                    <w:jc w:val="center"/>
                    <w:rPr>
                      <w:color w:val="FF0000"/>
                      <w:rFonts w:ascii="Tahoma" w:hAnsi="Tahoma" w:eastAsia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eastAsia="Tahoma" w:cs="Tahoma"/>
                      <w:color w:val="FF0000"/>
                      <w:sz w:val="16"/>
                      <w:szCs w:val="16"/>
                    </w:rPr>
                    <w:t xml:space="preserve">To remove this message, please obtain a commercial version from http://www.telerik.com</w:t>
                  </w:r>
                </w:p>
              </w:txbxContent>
            </v:textbox>
          </v:shape>
        </w:pict>
      </w:r>
    </w:p>
    <w:sectPr>
      <w:pgSz w:w="11906" w:h="16838" w:orient="portrait"/>
      <w:pgMar w:top="567" w:right="283" w:bottom="397" w:left="283" w:header="567" w:footer="397"/>
      <w:headerReference xmlns:r="http://schemas.openxmlformats.org/officeDocument/2006/relationships" w:type="default" r:id="R984edba847aa48d3"/>
      <w:footerReference xmlns:r="http://schemas.openxmlformats.org/officeDocument/2006/relationships" w:type="default" r:id="R99e5cf08156b4e10"/>
    </w:sectPr>
  </w:body>
</w:document>
</file>

<file path=word/footer1.xml><?xml version="1.0" encoding="utf-8"?>
<w:ftr xmlns:w="http://schemas.openxmlformats.org/wordprocessingml/2006/main">
  <w:p>
    <w:pPr>
      <w:spacing w:before="0" w:after="0" w:line="1"/>
      <w:rPr>
        <w:sz w:val="2"/>
      </w:rPr>
    </w:pPr>
  </w:p>
</w:ftr>
</file>

<file path=word/header1.xml><?xml version="1.0" encoding="utf-8"?>
<w:hdr xmlns:w="http://schemas.openxmlformats.org/wordprocessingml/2006/main">
  <w:p>
    <w:pPr>
      <w:spacing w:before="0" w:after="0" w:line="1"/>
      <w:rPr>
        <w:sz w:val="2"/>
      </w:rPr>
    </w:pPr>
  </w:p>
</w:hdr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1.xml" Id="R984edba847aa48d3" /><Relationship Type="http://schemas.openxmlformats.org/officeDocument/2006/relationships/footer" Target="/word/footer1.xml" Id="R99e5cf08156b4e10" /></Relationships>
</file>